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85" w:type="dxa"/>
          <w:bottom w:w="113" w:type="dxa"/>
        </w:tblCellMar>
        <w:tblLook w:val="01E0" w:firstRow="1" w:lastRow="1" w:firstColumn="1" w:lastColumn="1" w:noHBand="0" w:noVBand="0"/>
      </w:tblPr>
      <w:tblGrid>
        <w:gridCol w:w="3828"/>
        <w:gridCol w:w="5554"/>
      </w:tblGrid>
      <w:tr w:rsidR="008663A8" w:rsidRPr="006D4C29" w14:paraId="240BAC42" w14:textId="77777777" w:rsidTr="00317D10">
        <w:trPr>
          <w:gridAfter w:val="1"/>
          <w:wAfter w:w="5554" w:type="dxa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124C0C1" w14:textId="77777777" w:rsidR="008663A8" w:rsidRPr="006D4C29" w:rsidRDefault="008663A8" w:rsidP="005B7A22">
            <w:pPr>
              <w:pStyle w:val="berschrift1"/>
              <w:rPr>
                <w:sz w:val="28"/>
                <w:szCs w:val="28"/>
              </w:rPr>
            </w:pPr>
            <w:r w:rsidRPr="006D4C29">
              <w:rPr>
                <w:sz w:val="28"/>
                <w:szCs w:val="28"/>
              </w:rPr>
              <w:t xml:space="preserve">Die </w:t>
            </w:r>
            <w:r w:rsidR="00CF36CE">
              <w:rPr>
                <w:sz w:val="28"/>
                <w:szCs w:val="28"/>
              </w:rPr>
              <w:t>MEYLE</w:t>
            </w:r>
            <w:r w:rsidRPr="006D4C29">
              <w:rPr>
                <w:sz w:val="28"/>
                <w:szCs w:val="28"/>
              </w:rPr>
              <w:t xml:space="preserve"> AG in Stichworten</w:t>
            </w:r>
          </w:p>
          <w:p w14:paraId="6A0384D4" w14:textId="77777777" w:rsidR="008663A8" w:rsidRPr="006D4C29" w:rsidRDefault="008663A8" w:rsidP="005B7A2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663A8" w:rsidRPr="00C65208" w14:paraId="4776CB4D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EDC2163" w14:textId="77777777" w:rsidR="008663A8" w:rsidRPr="00C65208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5208">
              <w:rPr>
                <w:rFonts w:ascii="Arial" w:hAnsi="Arial" w:cs="Arial"/>
                <w:b/>
                <w:sz w:val="22"/>
                <w:szCs w:val="22"/>
              </w:rPr>
              <w:t>Unternehmen:</w:t>
            </w:r>
          </w:p>
          <w:p w14:paraId="6A1AC1F9" w14:textId="77777777" w:rsidR="00317D10" w:rsidRDefault="00317D10" w:rsidP="0015707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D76910" w14:textId="77777777" w:rsidR="00317D10" w:rsidRDefault="00317D10" w:rsidP="0015707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B1669E" w14:textId="1F90674B" w:rsidR="008663A8" w:rsidRPr="00C65208" w:rsidRDefault="008663A8" w:rsidP="0015707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5208">
              <w:rPr>
                <w:rFonts w:ascii="Arial" w:hAnsi="Arial" w:cs="Arial"/>
                <w:b/>
                <w:sz w:val="22"/>
                <w:szCs w:val="22"/>
              </w:rPr>
              <w:t>Produktmarke: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5D2BA72B" w14:textId="28E8415B" w:rsidR="00317D10" w:rsidRDefault="00A03CC5" w:rsidP="00317D10">
            <w:pPr>
              <w:ind w:left="-371" w:firstLine="371"/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Die </w:t>
            </w:r>
            <w:r w:rsidR="00CF36CE">
              <w:rPr>
                <w:rFonts w:ascii="Arial" w:hAnsi="Arial" w:cs="Arial"/>
                <w:bCs/>
                <w:sz w:val="22"/>
                <w:szCs w:val="22"/>
              </w:rPr>
              <w:t>MEYLE</w:t>
            </w:r>
            <w:r w:rsidR="008663A8" w:rsidRPr="00C65208">
              <w:rPr>
                <w:rFonts w:ascii="Arial" w:hAnsi="Arial" w:cs="Arial"/>
                <w:bCs/>
                <w:sz w:val="22"/>
                <w:szCs w:val="22"/>
              </w:rPr>
              <w:t xml:space="preserve"> AG</w:t>
            </w:r>
            <w:r w:rsidR="00317D1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7D10" w:rsidRPr="00317D10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="00317D10" w:rsidRPr="00317D10">
              <w:rPr>
                <w:bCs/>
                <w:sz w:val="22"/>
                <w:szCs w:val="22"/>
              </w:rPr>
              <w:t>s</w:t>
            </w:r>
            <w:r w:rsidR="00317D10">
              <w:rPr>
                <w:bCs/>
              </w:rPr>
              <w:t xml:space="preserve">t </w:t>
            </w:r>
            <w:r w:rsidR="00317D10" w:rsidRPr="00317D10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ein Unternehmen der Wulf Gaertner </w:t>
            </w:r>
          </w:p>
          <w:p w14:paraId="55135827" w14:textId="591030C4" w:rsidR="00317D10" w:rsidRPr="00317D10" w:rsidRDefault="00317D10" w:rsidP="00317D10">
            <w:pPr>
              <w:ind w:left="-371" w:firstLine="371"/>
              <w:rPr>
                <w:rFonts w:ascii="Arial" w:hAnsi="Arial" w:cs="Arial"/>
                <w:bCs/>
                <w:sz w:val="22"/>
                <w:szCs w:val="22"/>
              </w:rPr>
            </w:pPr>
            <w:r w:rsidRPr="00317D10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Autoparts AG.</w:t>
            </w:r>
            <w:r w:rsidRPr="00317D10">
              <w:rPr>
                <w:rStyle w:val="tabchar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ab/>
            </w:r>
          </w:p>
          <w:p w14:paraId="0730570A" w14:textId="77777777" w:rsidR="008663A8" w:rsidRPr="00C65208" w:rsidRDefault="008663A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87C3FE" w14:textId="77777777" w:rsidR="008663A8" w:rsidRPr="00C65208" w:rsidRDefault="008663A8" w:rsidP="001570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65208">
              <w:rPr>
                <w:rFonts w:ascii="Arial" w:hAnsi="Arial" w:cs="Arial"/>
                <w:bCs/>
                <w:sz w:val="22"/>
                <w:szCs w:val="22"/>
              </w:rPr>
              <w:t>MEYLE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15707A" w:rsidRPr="00C65208" w14:paraId="49CF44BE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362359F" w14:textId="77777777" w:rsidR="0015707A" w:rsidRPr="00C65208" w:rsidRDefault="0015707A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Produktlinien: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59AFD6C6" w14:textId="22B76863" w:rsidR="0015707A" w:rsidRPr="00C65208" w:rsidRDefault="0015707A" w:rsidP="005B7A22">
            <w:pPr>
              <w:ind w:left="-125" w:firstLine="1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MEYLE</w:t>
            </w:r>
            <w:r w:rsidR="005818A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ORIGINAL, MEYLE</w:t>
            </w:r>
            <w:r w:rsidR="005818A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PD und MEYLE</w:t>
            </w:r>
            <w:r w:rsidR="005818A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HD</w:t>
            </w:r>
          </w:p>
        </w:tc>
      </w:tr>
      <w:tr w:rsidR="008663A8" w:rsidRPr="00166CF6" w14:paraId="39877891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F8D0C8F" w14:textId="77777777" w:rsidR="008663A8" w:rsidRPr="00C65208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5208">
              <w:rPr>
                <w:rFonts w:ascii="Arial" w:hAnsi="Arial" w:cs="Arial"/>
                <w:b/>
                <w:bCs/>
                <w:sz w:val="22"/>
                <w:szCs w:val="22"/>
              </w:rPr>
              <w:t>Adresse:</w:t>
            </w:r>
            <w:r w:rsidRPr="00C65208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51279421" w14:textId="77777777" w:rsidR="008663A8" w:rsidRPr="00715925" w:rsidRDefault="008663A8" w:rsidP="005B7A22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715925">
              <w:rPr>
                <w:rFonts w:ascii="Arial" w:hAnsi="Arial" w:cs="Arial"/>
                <w:sz w:val="22"/>
                <w:szCs w:val="22"/>
                <w:lang w:val="da-DK"/>
              </w:rPr>
              <w:t>Merkurring 111</w:t>
            </w:r>
          </w:p>
          <w:p w14:paraId="766A8915" w14:textId="65045E8E" w:rsidR="008663A8" w:rsidRPr="00715925" w:rsidRDefault="008663A8" w:rsidP="005B7A22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715925">
              <w:rPr>
                <w:rFonts w:ascii="Arial" w:hAnsi="Arial" w:cs="Arial"/>
                <w:sz w:val="22"/>
                <w:szCs w:val="22"/>
                <w:lang w:val="da-DK"/>
              </w:rPr>
              <w:t>22143 Hamburg</w:t>
            </w:r>
          </w:p>
          <w:p w14:paraId="7019D553" w14:textId="77777777" w:rsidR="008663A8" w:rsidRPr="00715925" w:rsidRDefault="008663A8" w:rsidP="005B7A22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715925">
              <w:rPr>
                <w:rFonts w:ascii="Arial" w:hAnsi="Arial" w:cs="Arial"/>
                <w:sz w:val="22"/>
                <w:szCs w:val="22"/>
                <w:lang w:val="da-DK"/>
              </w:rPr>
              <w:t>www.meyle.com</w:t>
            </w:r>
          </w:p>
          <w:p w14:paraId="2A19C42B" w14:textId="17DCFB91" w:rsidR="00B605F4" w:rsidRPr="00715925" w:rsidRDefault="008663A8" w:rsidP="00B605F4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715925">
              <w:rPr>
                <w:rFonts w:ascii="Arial" w:hAnsi="Arial" w:cs="Arial"/>
                <w:sz w:val="22"/>
                <w:szCs w:val="22"/>
                <w:lang w:val="da-DK"/>
              </w:rPr>
              <w:t xml:space="preserve">+49 40 </w:t>
            </w:r>
            <w:r w:rsidR="00A03CC5" w:rsidRPr="00715925">
              <w:rPr>
                <w:rFonts w:ascii="Arial" w:hAnsi="Arial" w:cs="Arial"/>
                <w:sz w:val="22"/>
                <w:szCs w:val="22"/>
                <w:lang w:val="da-DK"/>
              </w:rPr>
              <w:t>67506-</w:t>
            </w:r>
            <w:r w:rsidRPr="00715925">
              <w:rPr>
                <w:rFonts w:ascii="Arial" w:hAnsi="Arial" w:cs="Arial"/>
                <w:sz w:val="22"/>
                <w:szCs w:val="22"/>
                <w:lang w:val="da-DK"/>
              </w:rPr>
              <w:t>510</w:t>
            </w:r>
          </w:p>
        </w:tc>
      </w:tr>
      <w:tr w:rsidR="00C51550" w:rsidRPr="00C65208" w14:paraId="383C1640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D292F71" w14:textId="77777777" w:rsidR="00C51550" w:rsidRPr="00B25E56" w:rsidRDefault="00C51550" w:rsidP="00283F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5E56">
              <w:rPr>
                <w:rFonts w:ascii="Arial" w:hAnsi="Arial" w:cs="Arial"/>
                <w:b/>
                <w:bCs/>
                <w:sz w:val="22"/>
                <w:szCs w:val="22"/>
              </w:rPr>
              <w:t>Historie:</w:t>
            </w:r>
            <w:r w:rsidRPr="00B25E56">
              <w:t xml:space="preserve">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500DB095" w14:textId="1F5AA34E" w:rsidR="00C51550" w:rsidRPr="00B25E56" w:rsidRDefault="00C51550" w:rsidP="00FB6972">
            <w:pPr>
              <w:rPr>
                <w:rFonts w:ascii="Arial" w:hAnsi="Arial" w:cs="Arial"/>
                <w:sz w:val="22"/>
                <w:szCs w:val="22"/>
              </w:rPr>
            </w:pPr>
            <w:r w:rsidRPr="00B25E56">
              <w:rPr>
                <w:rFonts w:ascii="Arial" w:hAnsi="Arial" w:cs="Arial"/>
                <w:sz w:val="22"/>
                <w:szCs w:val="22"/>
              </w:rPr>
              <w:t xml:space="preserve">Am 11. Juli 1958 gründete Wulf Gaertner die Wulf Gaertner GmbH, die dann 1999 </w:t>
            </w:r>
            <w:r w:rsidR="00A03CC5">
              <w:rPr>
                <w:rFonts w:ascii="Arial" w:hAnsi="Arial" w:cs="Arial"/>
                <w:sz w:val="22"/>
                <w:szCs w:val="22"/>
              </w:rPr>
              <w:t>in die</w:t>
            </w:r>
            <w:r w:rsidR="00A03CC5" w:rsidRPr="00B25E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5E56">
              <w:rPr>
                <w:rFonts w:ascii="Arial" w:hAnsi="Arial" w:cs="Arial"/>
                <w:sz w:val="22"/>
                <w:szCs w:val="22"/>
              </w:rPr>
              <w:t xml:space="preserve">Wulf Gaertner Autoparts AG umgewandelt wurde und heute als Holdinggesellschaft weiterhin im Familienbesitz ist. Diese übertrug ihr operatives Geschäft </w:t>
            </w:r>
            <w:r w:rsidR="00FB6972" w:rsidRPr="00B25E56">
              <w:rPr>
                <w:rFonts w:ascii="Arial" w:hAnsi="Arial" w:cs="Arial"/>
                <w:sz w:val="22"/>
                <w:szCs w:val="22"/>
              </w:rPr>
              <w:t xml:space="preserve">am 01.01.2017 </w:t>
            </w:r>
            <w:r w:rsidRPr="00B25E56">
              <w:rPr>
                <w:rFonts w:ascii="Arial" w:hAnsi="Arial" w:cs="Arial"/>
                <w:sz w:val="22"/>
                <w:szCs w:val="22"/>
              </w:rPr>
              <w:t xml:space="preserve">auf die 100-prozentige Tochtergesellschaft MEYLE AG. </w:t>
            </w:r>
          </w:p>
        </w:tc>
      </w:tr>
      <w:tr w:rsidR="008663A8" w:rsidRPr="009A477D" w14:paraId="75D9E324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E7215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5C96">
              <w:rPr>
                <w:rFonts w:ascii="Arial" w:hAnsi="Arial" w:cs="Arial"/>
                <w:b/>
                <w:sz w:val="22"/>
                <w:szCs w:val="22"/>
              </w:rPr>
              <w:t>Angebot:</w:t>
            </w:r>
          </w:p>
          <w:p w14:paraId="34DB91DB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774CB5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C6A6E8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FDBC05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22C5F6" w14:textId="77777777" w:rsidR="00CF36CE" w:rsidRPr="00B35C96" w:rsidRDefault="00CF36C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80BA99" w14:textId="77777777" w:rsidR="00317D10" w:rsidRDefault="00317D10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CFBB12" w14:textId="77777777" w:rsidR="00062516" w:rsidRDefault="00062516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FA1231" w14:textId="77777777" w:rsidR="00062516" w:rsidRDefault="00062516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114669" w14:textId="36487695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5C96">
              <w:rPr>
                <w:rFonts w:ascii="Arial" w:hAnsi="Arial" w:cs="Arial"/>
                <w:b/>
                <w:sz w:val="22"/>
                <w:szCs w:val="22"/>
              </w:rPr>
              <w:t>Gesellschaftsform:</w:t>
            </w:r>
          </w:p>
          <w:p w14:paraId="3BC6EE08" w14:textId="77777777" w:rsidR="008663A8" w:rsidRPr="00B35C96" w:rsidRDefault="008663A8" w:rsidP="005B7A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A6721C" w14:textId="77777777" w:rsidR="008663A8" w:rsidRPr="00B35C96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5C96">
              <w:rPr>
                <w:rFonts w:ascii="Arial" w:hAnsi="Arial" w:cs="Arial"/>
                <w:b/>
                <w:sz w:val="22"/>
                <w:szCs w:val="22"/>
              </w:rPr>
              <w:t>Gesellschafter: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487C4" w14:textId="097ADDA3" w:rsidR="008663A8" w:rsidRPr="00B35C96" w:rsidRDefault="008663A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35C96">
              <w:rPr>
                <w:rFonts w:ascii="Arial" w:hAnsi="Arial" w:cs="Arial"/>
                <w:bCs/>
                <w:sz w:val="22"/>
                <w:szCs w:val="22"/>
              </w:rPr>
              <w:t>MEYLE</w:t>
            </w:r>
            <w:r w:rsidR="005818AB" w:rsidRPr="00B35C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A299C" w:rsidRPr="00B35C96">
              <w:rPr>
                <w:rFonts w:ascii="Arial" w:hAnsi="Arial" w:cs="Arial"/>
                <w:bCs/>
                <w:sz w:val="22"/>
                <w:szCs w:val="22"/>
              </w:rPr>
              <w:t>ORIGINAL-, MEYLE</w:t>
            </w:r>
            <w:r w:rsidR="005818AB" w:rsidRPr="00B35C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A299C" w:rsidRPr="00B35C96">
              <w:rPr>
                <w:rFonts w:ascii="Arial" w:hAnsi="Arial" w:cs="Arial"/>
                <w:bCs/>
                <w:sz w:val="22"/>
                <w:szCs w:val="22"/>
              </w:rPr>
              <w:t>PD-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 xml:space="preserve"> und MEYLE</w:t>
            </w:r>
            <w:r w:rsidR="005818AB" w:rsidRPr="00B35C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 xml:space="preserve">HD-Ersatzteile im </w:t>
            </w:r>
            <w:r w:rsidR="0035596E"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35596E" w:rsidRPr="00B35C96">
              <w:rPr>
                <w:rFonts w:ascii="Arial" w:hAnsi="Arial" w:cs="Arial"/>
                <w:bCs/>
                <w:sz w:val="22"/>
                <w:szCs w:val="22"/>
              </w:rPr>
              <w:t xml:space="preserve">reien 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>Teileh</w:t>
            </w:r>
            <w:r w:rsidR="002E3F5C" w:rsidRPr="00B35C96">
              <w:rPr>
                <w:rFonts w:ascii="Arial" w:hAnsi="Arial" w:cs="Arial"/>
                <w:bCs/>
                <w:sz w:val="22"/>
                <w:szCs w:val="22"/>
              </w:rPr>
              <w:t>andel für PKW</w:t>
            </w:r>
            <w:r w:rsidR="00546852">
              <w:rPr>
                <w:rFonts w:ascii="Arial" w:hAnsi="Arial" w:cs="Arial"/>
                <w:bCs/>
                <w:sz w:val="22"/>
                <w:szCs w:val="22"/>
              </w:rPr>
              <w:t xml:space="preserve"> und</w:t>
            </w:r>
            <w:r w:rsidR="002E3F5C" w:rsidRPr="00B35C96">
              <w:rPr>
                <w:rFonts w:ascii="Arial" w:hAnsi="Arial" w:cs="Arial"/>
                <w:bCs/>
                <w:sz w:val="22"/>
                <w:szCs w:val="22"/>
              </w:rPr>
              <w:t xml:space="preserve"> Transporter</w:t>
            </w:r>
            <w:r w:rsidR="00F30F38" w:rsidRPr="00B35C9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E89641C" w14:textId="77660063" w:rsidR="00680E51" w:rsidRPr="00B35C96" w:rsidRDefault="00680E51" w:rsidP="00680E5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35C96">
              <w:rPr>
                <w:rFonts w:ascii="Arial" w:hAnsi="Arial" w:cs="Arial"/>
                <w:bCs/>
                <w:sz w:val="22"/>
                <w:szCs w:val="22"/>
              </w:rPr>
              <w:t>MEYLE bietet ein umfangreiches Portfolio von aktuell knapp 24.000 Teile</w:t>
            </w:r>
            <w:r w:rsidR="00062516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 xml:space="preserve">, davon </w:t>
            </w:r>
            <w:r w:rsidR="00313046">
              <w:rPr>
                <w:rFonts w:ascii="Arial" w:hAnsi="Arial" w:cs="Arial"/>
                <w:bCs/>
                <w:sz w:val="22"/>
                <w:szCs w:val="22"/>
              </w:rPr>
              <w:t xml:space="preserve">mehr als 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>1.</w:t>
            </w:r>
            <w:r w:rsidR="00561580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313046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>0 MEYLE</w:t>
            </w:r>
            <w:r w:rsidR="005818AB" w:rsidRPr="00B35C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>HD- und knapp 1.</w:t>
            </w:r>
            <w:r w:rsidR="00561580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>00 MEYLE</w:t>
            </w:r>
            <w:r w:rsidR="005818AB" w:rsidRPr="00B35C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>PD-Teile</w:t>
            </w:r>
            <w:r w:rsidR="00062516">
              <w:rPr>
                <w:rFonts w:ascii="Arial" w:hAnsi="Arial" w:cs="Arial"/>
                <w:bCs/>
                <w:sz w:val="22"/>
                <w:szCs w:val="22"/>
              </w:rPr>
              <w:t xml:space="preserve"> sowie </w:t>
            </w:r>
            <w:r w:rsidR="00DA79FC">
              <w:rPr>
                <w:rFonts w:ascii="Arial" w:hAnsi="Arial" w:cs="Arial"/>
                <w:bCs/>
                <w:sz w:val="22"/>
                <w:szCs w:val="22"/>
              </w:rPr>
              <w:t>5.0</w:t>
            </w:r>
            <w:r w:rsidR="00062516" w:rsidRPr="00062516">
              <w:rPr>
                <w:rFonts w:ascii="Arial" w:hAnsi="Arial" w:cs="Arial"/>
                <w:bCs/>
                <w:sz w:val="22"/>
                <w:szCs w:val="22"/>
              </w:rPr>
              <w:t>00 Produkte für (teilweise) elektrisch angetriebene Fahrzeuge</w:t>
            </w:r>
            <w:r w:rsidR="0006251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5522871" w14:textId="77777777" w:rsidR="00317D10" w:rsidRDefault="00317D10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FC521B7" w14:textId="52003F0F" w:rsidR="008663A8" w:rsidRPr="00B35C96" w:rsidRDefault="00C94992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B35C96">
              <w:rPr>
                <w:rFonts w:ascii="Arial" w:hAnsi="Arial" w:cs="Arial"/>
                <w:bCs/>
                <w:sz w:val="22"/>
                <w:szCs w:val="22"/>
              </w:rPr>
              <w:t xml:space="preserve">ichtbörsennotierte </w:t>
            </w:r>
            <w:r w:rsidR="008663A8" w:rsidRPr="00B35C96">
              <w:rPr>
                <w:rFonts w:ascii="Arial" w:hAnsi="Arial" w:cs="Arial"/>
                <w:bCs/>
                <w:sz w:val="22"/>
                <w:szCs w:val="22"/>
              </w:rPr>
              <w:t>Aktiengesellschaft</w:t>
            </w:r>
          </w:p>
          <w:p w14:paraId="38AB3E9A" w14:textId="77777777" w:rsidR="008663A8" w:rsidRPr="00B35C96" w:rsidRDefault="008663A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C8D5A9C" w14:textId="77777777" w:rsidR="008663A8" w:rsidRPr="00B35C96" w:rsidRDefault="008663A8" w:rsidP="005B7A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35C96">
              <w:rPr>
                <w:rFonts w:ascii="Arial" w:hAnsi="Arial" w:cs="Arial"/>
                <w:bCs/>
                <w:sz w:val="22"/>
                <w:szCs w:val="22"/>
              </w:rPr>
              <w:t>Familie des Firmengründers</w:t>
            </w:r>
          </w:p>
        </w:tc>
      </w:tr>
      <w:tr w:rsidR="008663A8" w:rsidRPr="00C65208" w14:paraId="5BEDE8AF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2EBDF6D" w14:textId="77777777" w:rsidR="008663A8" w:rsidRPr="00C65208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5208">
              <w:rPr>
                <w:rFonts w:ascii="Arial" w:hAnsi="Arial" w:cs="Arial"/>
                <w:b/>
                <w:sz w:val="22"/>
                <w:szCs w:val="22"/>
              </w:rPr>
              <w:t>Vorstand: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6DE74278" w14:textId="18CFA6FE" w:rsidR="008663A8" w:rsidRPr="00C65208" w:rsidRDefault="00F060E1" w:rsidP="005B7A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Dirk Damaschke</w:t>
            </w:r>
            <w:r w:rsidR="00B573F4">
              <w:rPr>
                <w:rFonts w:ascii="Arial" w:hAnsi="Arial" w:cs="Arial"/>
                <w:sz w:val="22"/>
                <w:szCs w:val="22"/>
              </w:rPr>
              <w:t>, Marc Siemssen</w:t>
            </w:r>
          </w:p>
        </w:tc>
      </w:tr>
      <w:tr w:rsidR="008663A8" w:rsidRPr="00C65208" w14:paraId="1D926E24" w14:textId="77777777" w:rsidTr="00317D1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30BD4AC" w14:textId="77777777" w:rsidR="008663A8" w:rsidRPr="00166C2D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66C2D">
              <w:rPr>
                <w:rFonts w:ascii="Arial" w:hAnsi="Arial" w:cs="Arial"/>
                <w:b/>
                <w:sz w:val="22"/>
                <w:szCs w:val="22"/>
              </w:rPr>
              <w:t>Marktpräsenz: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17EA963D" w14:textId="77777777" w:rsidR="008663A8" w:rsidRPr="00166C2D" w:rsidRDefault="008663A8" w:rsidP="005B7A22">
            <w:pPr>
              <w:rPr>
                <w:rFonts w:ascii="Arial" w:hAnsi="Arial" w:cs="Arial"/>
                <w:sz w:val="22"/>
                <w:szCs w:val="22"/>
              </w:rPr>
            </w:pPr>
            <w:r w:rsidRPr="00166C2D">
              <w:rPr>
                <w:rFonts w:ascii="Arial" w:hAnsi="Arial" w:cs="Arial"/>
                <w:sz w:val="22"/>
                <w:szCs w:val="22"/>
              </w:rPr>
              <w:t>120 Länder weltweit, alle Kontinente</w:t>
            </w:r>
          </w:p>
        </w:tc>
      </w:tr>
    </w:tbl>
    <w:p w14:paraId="4A914C6B" w14:textId="77777777" w:rsidR="005818AB" w:rsidRDefault="005818AB" w:rsidP="005B7A22">
      <w:pPr>
        <w:rPr>
          <w:rFonts w:ascii="Arial" w:hAnsi="Arial" w:cs="Arial"/>
          <w:b/>
          <w:sz w:val="22"/>
          <w:szCs w:val="22"/>
        </w:rPr>
        <w:sectPr w:rsidR="005818AB" w:rsidSect="000C5CAA">
          <w:headerReference w:type="default" r:id="rId11"/>
          <w:footerReference w:type="default" r:id="rId12"/>
          <w:pgSz w:w="11906" w:h="16838" w:code="9"/>
          <w:pgMar w:top="2875" w:right="1287" w:bottom="1979" w:left="1418" w:header="540" w:footer="0" w:gutter="0"/>
          <w:cols w:space="708"/>
          <w:docGrid w:linePitch="360"/>
        </w:sectPr>
      </w:pPr>
    </w:p>
    <w:tbl>
      <w:tblPr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85" w:type="dxa"/>
          <w:bottom w:w="113" w:type="dxa"/>
        </w:tblCellMar>
        <w:tblLook w:val="01E0" w:firstRow="1" w:lastRow="1" w:firstColumn="1" w:lastColumn="1" w:noHBand="0" w:noVBand="0"/>
      </w:tblPr>
      <w:tblGrid>
        <w:gridCol w:w="3899"/>
        <w:gridCol w:w="5483"/>
      </w:tblGrid>
      <w:tr w:rsidR="008663A8" w:rsidRPr="00C65208" w14:paraId="597F59BB" w14:textId="77777777" w:rsidTr="4A84A04A">
        <w:trPr>
          <w:trHeight w:val="2287"/>
        </w:trPr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14:paraId="1598159A" w14:textId="77777777" w:rsidR="008663A8" w:rsidRPr="00166C2D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66C2D">
              <w:rPr>
                <w:rFonts w:ascii="Arial" w:hAnsi="Arial" w:cs="Arial"/>
                <w:b/>
                <w:sz w:val="22"/>
                <w:szCs w:val="22"/>
              </w:rPr>
              <w:lastRenderedPageBreak/>
              <w:t>Mitarbeiter:</w:t>
            </w:r>
          </w:p>
          <w:p w14:paraId="0681631B" w14:textId="77777777" w:rsidR="008663A8" w:rsidRPr="00166C2D" w:rsidRDefault="008663A8" w:rsidP="005B7A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C3B217" w14:textId="77777777" w:rsidR="008663A8" w:rsidRPr="00166C2D" w:rsidRDefault="008663A8" w:rsidP="005B7A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C0C22" w14:textId="77777777" w:rsidR="00925728" w:rsidRDefault="0092572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93E76E" w14:textId="0630A58F" w:rsidR="008663A8" w:rsidRPr="00166C2D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66C2D">
              <w:rPr>
                <w:rFonts w:ascii="Arial" w:hAnsi="Arial" w:cs="Arial"/>
                <w:b/>
                <w:sz w:val="22"/>
                <w:szCs w:val="22"/>
              </w:rPr>
              <w:t>Alleinstellungsmerkmale:</w:t>
            </w:r>
          </w:p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14:paraId="47226750" w14:textId="42138D5B" w:rsidR="008663A8" w:rsidRPr="00166C2D" w:rsidRDefault="00C94992" w:rsidP="005B7A22">
            <w:pPr>
              <w:tabs>
                <w:tab w:val="left" w:pos="-1388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166C2D">
              <w:rPr>
                <w:rFonts w:ascii="Arial" w:hAnsi="Arial" w:cs="Arial"/>
                <w:sz w:val="22"/>
                <w:szCs w:val="22"/>
              </w:rPr>
              <w:t xml:space="preserve">eltweit </w:t>
            </w:r>
            <w:r w:rsidR="008663A8" w:rsidRPr="00166C2D">
              <w:rPr>
                <w:rFonts w:ascii="Arial" w:hAnsi="Arial" w:cs="Arial"/>
                <w:sz w:val="22"/>
                <w:szCs w:val="22"/>
              </w:rPr>
              <w:t>1.000 (gemeinsam mit Partnerunternehmen),</w:t>
            </w:r>
          </w:p>
          <w:p w14:paraId="0DE247AD" w14:textId="6B47A171" w:rsidR="008663A8" w:rsidRPr="00166C2D" w:rsidRDefault="008663A8" w:rsidP="005B7A22">
            <w:pPr>
              <w:tabs>
                <w:tab w:val="left" w:pos="-1388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rPr>
                <w:rFonts w:ascii="Arial" w:hAnsi="Arial" w:cs="Arial"/>
                <w:sz w:val="22"/>
                <w:szCs w:val="22"/>
              </w:rPr>
            </w:pPr>
            <w:r w:rsidRPr="00166C2D">
              <w:rPr>
                <w:rFonts w:ascii="Arial" w:hAnsi="Arial" w:cs="Arial"/>
                <w:sz w:val="22"/>
                <w:szCs w:val="22"/>
              </w:rPr>
              <w:t xml:space="preserve">davon </w:t>
            </w:r>
            <w:r w:rsidR="00925728">
              <w:rPr>
                <w:rFonts w:ascii="Arial" w:hAnsi="Arial" w:cs="Arial"/>
                <w:sz w:val="22"/>
                <w:szCs w:val="22"/>
              </w:rPr>
              <w:t>ca. 480</w:t>
            </w:r>
            <w:r w:rsidR="00CF36CE" w:rsidRPr="00166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C2D">
              <w:rPr>
                <w:rFonts w:ascii="Arial" w:hAnsi="Arial" w:cs="Arial"/>
                <w:sz w:val="22"/>
                <w:szCs w:val="22"/>
              </w:rPr>
              <w:t>am Unternehmenshauptsitz in Hamburg</w:t>
            </w:r>
            <w:r w:rsidR="00925728">
              <w:rPr>
                <w:rFonts w:ascii="Arial" w:hAnsi="Arial" w:cs="Arial"/>
                <w:sz w:val="22"/>
                <w:szCs w:val="22"/>
              </w:rPr>
              <w:t xml:space="preserve"> (Stand September </w:t>
            </w:r>
            <w:r w:rsidR="00FD5359">
              <w:rPr>
                <w:rFonts w:ascii="Arial" w:hAnsi="Arial" w:cs="Arial"/>
                <w:sz w:val="22"/>
                <w:szCs w:val="22"/>
              </w:rPr>
              <w:t>2024</w:t>
            </w:r>
            <w:r w:rsidR="00925728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3CE462A2" w14:textId="77777777" w:rsidR="008663A8" w:rsidRPr="00166C2D" w:rsidRDefault="008663A8" w:rsidP="005B7A22">
            <w:pPr>
              <w:tabs>
                <w:tab w:val="left" w:pos="-1388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0A8AFD4" w14:textId="56E75B61" w:rsidR="008663A8" w:rsidRPr="00166C2D" w:rsidRDefault="00C32905" w:rsidP="005B7A22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 w:rsidRPr="00166C2D">
              <w:rPr>
                <w:rFonts w:ascii="Arial" w:hAnsi="Arial" w:cs="Arial"/>
                <w:sz w:val="22"/>
                <w:szCs w:val="22"/>
              </w:rPr>
              <w:t>MEYLE</w:t>
            </w:r>
            <w:r w:rsidR="005818AB" w:rsidRPr="00166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63A8" w:rsidRPr="00166C2D">
              <w:rPr>
                <w:rFonts w:ascii="Arial" w:hAnsi="Arial" w:cs="Arial"/>
                <w:sz w:val="22"/>
                <w:szCs w:val="22"/>
              </w:rPr>
              <w:t xml:space="preserve">HD-Teile: im Vergleich zum </w:t>
            </w:r>
            <w:r w:rsidR="00B605F4" w:rsidRPr="00166C2D">
              <w:rPr>
                <w:rFonts w:ascii="Arial" w:hAnsi="Arial" w:cs="Arial"/>
                <w:sz w:val="22"/>
                <w:szCs w:val="22"/>
              </w:rPr>
              <w:t>OE-Teil</w:t>
            </w:r>
            <w:r w:rsidR="008663A8" w:rsidRPr="00166C2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6E1CBB" w14:textId="77777777" w:rsidR="008663A8" w:rsidRPr="00166C2D" w:rsidRDefault="00CF36CE" w:rsidP="005B7A22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 w:rsidRPr="00166C2D">
              <w:rPr>
                <w:rFonts w:ascii="Arial" w:hAnsi="Arial" w:cs="Arial"/>
                <w:sz w:val="22"/>
                <w:szCs w:val="22"/>
              </w:rPr>
              <w:t xml:space="preserve">technisch </w:t>
            </w:r>
            <w:r w:rsidR="008663A8" w:rsidRPr="00166C2D">
              <w:rPr>
                <w:rFonts w:ascii="Arial" w:hAnsi="Arial" w:cs="Arial"/>
                <w:sz w:val="22"/>
                <w:szCs w:val="22"/>
              </w:rPr>
              <w:t xml:space="preserve">verbesserte </w:t>
            </w:r>
            <w:r w:rsidRPr="00166C2D">
              <w:rPr>
                <w:rFonts w:ascii="Arial" w:hAnsi="Arial" w:cs="Arial"/>
                <w:sz w:val="22"/>
                <w:szCs w:val="22"/>
              </w:rPr>
              <w:t>Autoersatzt</w:t>
            </w:r>
            <w:r w:rsidR="008663A8" w:rsidRPr="00166C2D">
              <w:rPr>
                <w:rFonts w:ascii="Arial" w:hAnsi="Arial" w:cs="Arial"/>
                <w:sz w:val="22"/>
                <w:szCs w:val="22"/>
              </w:rPr>
              <w:t>eile</w:t>
            </w:r>
          </w:p>
          <w:p w14:paraId="0CBE2062" w14:textId="77777777" w:rsidR="00313046" w:rsidRDefault="003874A8" w:rsidP="005B7A22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 w:rsidRPr="00166C2D">
              <w:rPr>
                <w:rFonts w:ascii="Arial" w:hAnsi="Arial" w:cs="Arial"/>
                <w:sz w:val="22"/>
                <w:szCs w:val="22"/>
              </w:rPr>
              <w:t xml:space="preserve">4 Jahre </w:t>
            </w:r>
            <w:r w:rsidR="008663A8" w:rsidRPr="00166C2D">
              <w:rPr>
                <w:rFonts w:ascii="Arial" w:hAnsi="Arial" w:cs="Arial"/>
                <w:sz w:val="22"/>
                <w:szCs w:val="22"/>
              </w:rPr>
              <w:t xml:space="preserve">Garantie </w:t>
            </w:r>
            <w:r w:rsidR="00313046" w:rsidRPr="00313046">
              <w:rPr>
                <w:rFonts w:ascii="Arial" w:hAnsi="Arial" w:cs="Arial"/>
                <w:sz w:val="22"/>
                <w:szCs w:val="22"/>
              </w:rPr>
              <w:t>(www.meyle.com/garantie)</w:t>
            </w:r>
            <w:r w:rsidR="00313046" w:rsidRPr="00166C2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550D4B3" w14:textId="5FC696D4" w:rsidR="008663A8" w:rsidRPr="00166C2D" w:rsidRDefault="008663A8" w:rsidP="005B7A22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 w:rsidRPr="00166C2D">
              <w:rPr>
                <w:rFonts w:ascii="Arial" w:hAnsi="Arial" w:cs="Arial"/>
                <w:sz w:val="22"/>
                <w:szCs w:val="22"/>
              </w:rPr>
              <w:t xml:space="preserve">auf alle </w:t>
            </w:r>
            <w:r w:rsidR="00C177E8" w:rsidRPr="00166C2D">
              <w:rPr>
                <w:rFonts w:ascii="Arial" w:hAnsi="Arial" w:cs="Arial"/>
                <w:sz w:val="22"/>
                <w:szCs w:val="22"/>
              </w:rPr>
              <w:t>MEYLE</w:t>
            </w:r>
            <w:r w:rsidR="005818AB" w:rsidRPr="00166C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C2D">
              <w:rPr>
                <w:rFonts w:ascii="Arial" w:hAnsi="Arial" w:cs="Arial"/>
                <w:sz w:val="22"/>
                <w:szCs w:val="22"/>
              </w:rPr>
              <w:t>HD-Teile</w:t>
            </w:r>
          </w:p>
          <w:p w14:paraId="18FCBBA9" w14:textId="77777777" w:rsidR="00B605F4" w:rsidRPr="00166C2D" w:rsidRDefault="00B605F4" w:rsidP="00B605F4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 w:rsidRPr="00166C2D">
              <w:rPr>
                <w:rFonts w:ascii="Arial" w:hAnsi="Arial" w:cs="Arial"/>
                <w:sz w:val="22"/>
                <w:szCs w:val="22"/>
              </w:rPr>
              <w:t xml:space="preserve">Herstellung in eigenen Produktionsstätten </w:t>
            </w:r>
          </w:p>
          <w:p w14:paraId="6FE96506" w14:textId="60C36E53" w:rsidR="008E3C6E" w:rsidRDefault="008663A8" w:rsidP="008E3C6E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  <w:r w:rsidRPr="00166C2D">
              <w:rPr>
                <w:rFonts w:ascii="Arial" w:hAnsi="Arial" w:cs="Arial"/>
                <w:sz w:val="22"/>
                <w:szCs w:val="22"/>
              </w:rPr>
              <w:t>Mehrstufiges, engmaschiges Qualitätsprüfungssystem</w:t>
            </w:r>
          </w:p>
          <w:p w14:paraId="32B80AB4" w14:textId="4AB6CE35" w:rsidR="008663A8" w:rsidRPr="00166C2D" w:rsidRDefault="008663A8" w:rsidP="008E3C6E">
            <w:pPr>
              <w:tabs>
                <w:tab w:val="left" w:pos="-2988"/>
                <w:tab w:val="left" w:pos="-1388"/>
                <w:tab w:val="left" w:pos="-720"/>
                <w:tab w:val="left" w:pos="720"/>
                <w:tab w:val="left" w:pos="1440"/>
                <w:tab w:val="left" w:pos="2160"/>
                <w:tab w:val="left" w:pos="3117"/>
                <w:tab w:val="left" w:pos="3402"/>
                <w:tab w:val="left" w:pos="4320"/>
              </w:tabs>
              <w:ind w:left="-2988" w:firstLine="298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3A8" w:rsidRPr="00C65208" w14:paraId="3F52DFA6" w14:textId="77777777" w:rsidTr="4A84A04A"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14:paraId="05A23992" w14:textId="77777777" w:rsidR="008663A8" w:rsidRPr="00C65208" w:rsidRDefault="008663A8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5208">
              <w:rPr>
                <w:rFonts w:ascii="Arial" w:hAnsi="Arial" w:cs="Arial"/>
                <w:b/>
                <w:sz w:val="22"/>
                <w:szCs w:val="22"/>
              </w:rPr>
              <w:t>Produkt</w:t>
            </w:r>
            <w:r>
              <w:rPr>
                <w:rFonts w:ascii="Arial" w:hAnsi="Arial" w:cs="Arial"/>
                <w:b/>
                <w:sz w:val="22"/>
                <w:szCs w:val="22"/>
              </w:rPr>
              <w:t>gruppen:</w:t>
            </w:r>
          </w:p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14:paraId="3B875953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Fahrwerk</w:t>
            </w:r>
            <w:r w:rsidR="00FD343F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Lenkung</w:t>
            </w:r>
          </w:p>
          <w:p w14:paraId="527AA356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Antriebsteile</w:t>
            </w:r>
          </w:p>
          <w:p w14:paraId="45D90072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Bremse</w:t>
            </w:r>
          </w:p>
          <w:p w14:paraId="30F2E5F7" w14:textId="621194E1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Federung</w:t>
            </w:r>
            <w:r w:rsidR="00E94CF1">
              <w:rPr>
                <w:rFonts w:ascii="Arial" w:hAnsi="Arial" w:cs="Arial"/>
                <w:sz w:val="22"/>
                <w:szCs w:val="22"/>
              </w:rPr>
              <w:t xml:space="preserve">s- und </w:t>
            </w:r>
            <w:r>
              <w:rPr>
                <w:rFonts w:ascii="Arial" w:hAnsi="Arial" w:cs="Arial"/>
                <w:sz w:val="22"/>
                <w:szCs w:val="22"/>
              </w:rPr>
              <w:t>Dämpfung</w:t>
            </w:r>
            <w:r w:rsidR="00E94CF1">
              <w:rPr>
                <w:rFonts w:ascii="Arial" w:hAnsi="Arial" w:cs="Arial"/>
                <w:sz w:val="22"/>
                <w:szCs w:val="22"/>
              </w:rPr>
              <w:t>steile</w:t>
            </w:r>
          </w:p>
          <w:p w14:paraId="716CF252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Filter</w:t>
            </w:r>
          </w:p>
          <w:p w14:paraId="3FA757F4" w14:textId="77777777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Flüssigkeiten</w:t>
            </w:r>
          </w:p>
          <w:p w14:paraId="11E6118C" w14:textId="4CC15C2E" w:rsidR="008663A8" w:rsidRDefault="008663A8" w:rsidP="005B7A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</w:t>
            </w:r>
            <w:r w:rsidR="00E74C4A">
              <w:rPr>
                <w:rFonts w:ascii="Arial" w:hAnsi="Arial" w:cs="Arial"/>
                <w:sz w:val="22"/>
                <w:szCs w:val="22"/>
              </w:rPr>
              <w:t>oni</w:t>
            </w:r>
            <w:r w:rsidR="00E94CF1">
              <w:rPr>
                <w:rFonts w:ascii="Arial" w:hAnsi="Arial" w:cs="Arial"/>
                <w:sz w:val="22"/>
                <w:szCs w:val="22"/>
              </w:rPr>
              <w:t>cs</w:t>
            </w:r>
          </w:p>
          <w:p w14:paraId="423BDC89" w14:textId="30FA30EC" w:rsidR="008663A8" w:rsidRDefault="00E94CF1" w:rsidP="009C2F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Teile für </w:t>
            </w:r>
            <w:r w:rsidR="008663A8">
              <w:rPr>
                <w:rFonts w:ascii="Arial" w:hAnsi="Arial" w:cs="Arial"/>
                <w:sz w:val="22"/>
                <w:szCs w:val="22"/>
              </w:rPr>
              <w:t>Motor</w:t>
            </w:r>
            <w:r>
              <w:rPr>
                <w:rFonts w:ascii="Arial" w:hAnsi="Arial" w:cs="Arial"/>
                <w:sz w:val="22"/>
                <w:szCs w:val="22"/>
              </w:rPr>
              <w:t xml:space="preserve"> und </w:t>
            </w:r>
            <w:r w:rsidR="008663A8">
              <w:rPr>
                <w:rFonts w:ascii="Arial" w:hAnsi="Arial" w:cs="Arial"/>
                <w:sz w:val="22"/>
                <w:szCs w:val="22"/>
              </w:rPr>
              <w:t>Getriebe</w:t>
            </w:r>
          </w:p>
          <w:p w14:paraId="51DEA135" w14:textId="71F244F9" w:rsidR="002744BA" w:rsidRDefault="00472C16" w:rsidP="009C2F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ergänzendes </w:t>
            </w:r>
            <w:r w:rsidR="002744BA">
              <w:rPr>
                <w:rFonts w:ascii="Arial" w:hAnsi="Arial" w:cs="Arial"/>
                <w:sz w:val="22"/>
                <w:szCs w:val="22"/>
              </w:rPr>
              <w:t>Produktsortiment</w:t>
            </w:r>
          </w:p>
          <w:p w14:paraId="0D8841D9" w14:textId="3C2AD29D" w:rsidR="005E2A30" w:rsidRPr="00C65208" w:rsidRDefault="005E2A30" w:rsidP="009C2F8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3A8" w:rsidRPr="00C65208" w14:paraId="6383843A" w14:textId="77777777" w:rsidTr="4A84A04A">
        <w:trPr>
          <w:trHeight w:val="763"/>
        </w:trPr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14:paraId="20574405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B98EEC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453974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BE5422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22F509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C51DD1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74F20B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5EB385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7A9FB6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89FCDB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5B2B83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A5A07C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EB1C3F" w14:textId="77777777" w:rsidR="00BE1ADE" w:rsidRDefault="00BE1ADE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5B8D69" w14:textId="77777777" w:rsidR="00166CF6" w:rsidRDefault="00166CF6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5AB786" w14:textId="784BF74F" w:rsidR="00BE1ADE" w:rsidRPr="00C65208" w:rsidRDefault="00F871C9" w:rsidP="005B7A2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Social-</w:t>
            </w:r>
            <w:r w:rsidR="00BE1ADE">
              <w:rPr>
                <w:rFonts w:ascii="Arial" w:hAnsi="Arial" w:cs="Arial"/>
                <w:b/>
                <w:sz w:val="22"/>
                <w:szCs w:val="22"/>
              </w:rPr>
              <w:t>Media-Kanäle:</w:t>
            </w:r>
          </w:p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14:paraId="58C3F77E" w14:textId="70FA800D" w:rsidR="00BE1ADE" w:rsidRDefault="00BE1ADE" w:rsidP="005E2A30">
            <w:pPr>
              <w:pStyle w:val="Textkrper3"/>
              <w:ind w:righ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D8B55E" w14:textId="620B6BD6" w:rsidR="00BE1ADE" w:rsidRPr="00C04497" w:rsidRDefault="00FD5359" w:rsidP="00BE1ADE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hyperlink r:id="rId13" w:history="1">
              <w:r w:rsidR="00BE1ADE" w:rsidRPr="00C04497">
                <w:rPr>
                  <w:rStyle w:val="Hyperlink"/>
                  <w:rFonts w:ascii="Arial" w:hAnsi="Arial" w:cs="Arial"/>
                  <w:b/>
                  <w:noProof/>
                  <w:sz w:val="20"/>
                  <w:szCs w:val="20"/>
                </w:rPr>
                <w:t>Instagram</w:t>
              </w:r>
            </w:hyperlink>
            <w:r w:rsidR="00BE1ADE" w:rsidRPr="00C04497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, </w:t>
            </w:r>
            <w:hyperlink r:id="rId14" w:history="1">
              <w:r w:rsidR="00BE1ADE" w:rsidRPr="00C04497">
                <w:rPr>
                  <w:rStyle w:val="Hyperlink"/>
                  <w:rFonts w:ascii="Arial" w:hAnsi="Arial" w:cs="Arial"/>
                  <w:b/>
                  <w:noProof/>
                  <w:sz w:val="20"/>
                  <w:szCs w:val="20"/>
                </w:rPr>
                <w:t>Facebook</w:t>
              </w:r>
            </w:hyperlink>
            <w:r w:rsidR="00BE1ADE" w:rsidRPr="00C04497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5" w:history="1">
              <w:r w:rsidR="00BE1ADE" w:rsidRPr="00C04497">
                <w:rPr>
                  <w:rStyle w:val="Hyperlink"/>
                  <w:rFonts w:ascii="Arial" w:hAnsi="Arial" w:cs="Arial"/>
                  <w:b/>
                  <w:noProof/>
                  <w:sz w:val="20"/>
                  <w:szCs w:val="20"/>
                </w:rPr>
                <w:t>LinkedIn</w:t>
              </w:r>
            </w:hyperlink>
            <w:r w:rsidR="00BE1ADE" w:rsidRPr="00C0449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1ADE" w:rsidRPr="00C04497">
              <w:rPr>
                <w:rFonts w:ascii="Arial" w:hAnsi="Arial" w:cs="Arial"/>
                <w:b/>
                <w:noProof/>
                <w:sz w:val="20"/>
                <w:szCs w:val="20"/>
              </w:rPr>
              <w:t>und</w:t>
            </w:r>
            <w:r w:rsidR="00BE1ADE" w:rsidRPr="00C0449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hyperlink r:id="rId16" w:history="1">
              <w:r w:rsidR="00BE1ADE" w:rsidRPr="00C04497">
                <w:rPr>
                  <w:rStyle w:val="Hyperlink"/>
                  <w:rFonts w:ascii="Arial" w:hAnsi="Arial" w:cs="Arial"/>
                  <w:b/>
                  <w:noProof/>
                  <w:sz w:val="20"/>
                  <w:szCs w:val="20"/>
                </w:rPr>
                <w:t>YouTube</w:t>
              </w:r>
            </w:hyperlink>
            <w:r w:rsidR="00BE1ADE" w:rsidRPr="00C0449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50F6669" w14:textId="77777777" w:rsidR="00BE1ADE" w:rsidRDefault="00BE1ADE" w:rsidP="005E2A30">
            <w:pPr>
              <w:pStyle w:val="Textkrper3"/>
              <w:ind w:righ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DB561D" w14:textId="77777777" w:rsidR="008663A8" w:rsidRPr="00C65208" w:rsidRDefault="008663A8" w:rsidP="004F391D">
            <w:pPr>
              <w:pStyle w:val="Textkrper3"/>
              <w:ind w:right="70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824546" w14:textId="777FDA1B" w:rsidR="00BC4070" w:rsidRPr="008663A8" w:rsidRDefault="00BC4070" w:rsidP="008663A8"/>
    <w:sectPr w:rsidR="00BC4070" w:rsidRPr="008663A8" w:rsidSect="000C5CAA">
      <w:pgSz w:w="11906" w:h="16838" w:code="9"/>
      <w:pgMar w:top="2875" w:right="1287" w:bottom="1979" w:left="1418" w:header="5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674EC" w14:textId="77777777" w:rsidR="00676026" w:rsidRDefault="00676026">
      <w:r>
        <w:separator/>
      </w:r>
    </w:p>
  </w:endnote>
  <w:endnote w:type="continuationSeparator" w:id="0">
    <w:p w14:paraId="01AA7D67" w14:textId="77777777" w:rsidR="00676026" w:rsidRDefault="00676026">
      <w:r>
        <w:continuationSeparator/>
      </w:r>
    </w:p>
  </w:endnote>
  <w:endnote w:type="continuationNotice" w:id="1">
    <w:p w14:paraId="0EF24064" w14:textId="77777777" w:rsidR="00676026" w:rsidRDefault="00676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-Plain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FBC4" w14:textId="77777777" w:rsidR="00186964" w:rsidRDefault="00B605F4" w:rsidP="005B23F3">
    <w:pPr>
      <w:pStyle w:val="Fuzeile"/>
      <w:ind w:firstLine="6372"/>
      <w:rPr>
        <w:rFonts w:ascii="TheSans-Plain" w:hAnsi="TheSans-Plain"/>
        <w:color w:val="AAAAAA"/>
        <w:sz w:val="15"/>
        <w:szCs w:val="15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5A8C81B" wp14:editId="27119644">
          <wp:simplePos x="0" y="0"/>
          <wp:positionH relativeFrom="column">
            <wp:posOffset>-73660</wp:posOffset>
          </wp:positionH>
          <wp:positionV relativeFrom="paragraph">
            <wp:posOffset>-699135</wp:posOffset>
          </wp:positionV>
          <wp:extent cx="5843905" cy="628015"/>
          <wp:effectExtent l="19050" t="0" r="4445" b="0"/>
          <wp:wrapNone/>
          <wp:docPr id="21" name="Bild 2" descr="Footer_Allgemeine-Einkaufsbedingun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Footer_Allgemeine-Einkaufsbedingunge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3905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86964">
      <w:rPr>
        <w:rFonts w:ascii="TheSans-Plain" w:hAnsi="TheSans-Plain"/>
        <w:color w:val="AAAAAA"/>
        <w:sz w:val="15"/>
        <w:szCs w:val="15"/>
      </w:rPr>
      <w:t xml:space="preserve">                                                    </w:t>
    </w:r>
  </w:p>
  <w:p w14:paraId="1EEA62E0" w14:textId="77777777" w:rsidR="00186964" w:rsidRDefault="00186964" w:rsidP="00826BED">
    <w:pPr>
      <w:pStyle w:val="Fuzeile"/>
      <w:ind w:left="2364" w:firstLine="4008"/>
    </w:pPr>
    <w:r>
      <w:rPr>
        <w:rFonts w:ascii="TheSans-Plain" w:hAnsi="TheSans-Plain"/>
        <w:color w:val="AAAAAA"/>
        <w:sz w:val="15"/>
        <w:szCs w:val="15"/>
      </w:rPr>
      <w:t xml:space="preserve">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FF21B" w14:textId="77777777" w:rsidR="00676026" w:rsidRDefault="00676026">
      <w:r>
        <w:separator/>
      </w:r>
    </w:p>
  </w:footnote>
  <w:footnote w:type="continuationSeparator" w:id="0">
    <w:p w14:paraId="1505417E" w14:textId="77777777" w:rsidR="00676026" w:rsidRDefault="00676026">
      <w:r>
        <w:continuationSeparator/>
      </w:r>
    </w:p>
  </w:footnote>
  <w:footnote w:type="continuationNotice" w:id="1">
    <w:p w14:paraId="07C4BEAD" w14:textId="77777777" w:rsidR="00676026" w:rsidRDefault="00676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B3016" w14:textId="4FAADDED" w:rsidR="00186964" w:rsidRDefault="00B605F4" w:rsidP="005746F0">
    <w:pPr>
      <w:pStyle w:val="Kopfzeile"/>
      <w:tabs>
        <w:tab w:val="clear" w:pos="9072"/>
        <w:tab w:val="right" w:pos="9180"/>
      </w:tabs>
      <w:ind w:hanging="180"/>
    </w:pPr>
    <w:r>
      <w:rPr>
        <w:noProof/>
      </w:rPr>
      <w:drawing>
        <wp:inline distT="0" distB="0" distL="0" distR="0" wp14:anchorId="0BE79597" wp14:editId="6910B758">
          <wp:extent cx="5819410" cy="104965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19410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6.2pt;height:97.8pt;visibility:visible;mso-wrap-style:square" o:bullet="t">
        <v:imagedata r:id="rId1" o:title=""/>
      </v:shape>
    </w:pict>
  </w:numPicBullet>
  <w:abstractNum w:abstractNumId="0" w15:restartNumberingAfterBreak="0">
    <w:nsid w:val="176F37BD"/>
    <w:multiLevelType w:val="hybridMultilevel"/>
    <w:tmpl w:val="3EC09F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A3FF4"/>
    <w:multiLevelType w:val="hybridMultilevel"/>
    <w:tmpl w:val="5E28897C"/>
    <w:lvl w:ilvl="0" w:tplc="BE72C886">
      <w:numFmt w:val="bullet"/>
      <w:lvlText w:val=""/>
      <w:lvlJc w:val="left"/>
      <w:pPr>
        <w:tabs>
          <w:tab w:val="num" w:pos="180"/>
        </w:tabs>
        <w:ind w:left="1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FFC1A41"/>
    <w:multiLevelType w:val="hybridMultilevel"/>
    <w:tmpl w:val="B262F36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D7455"/>
    <w:multiLevelType w:val="hybridMultilevel"/>
    <w:tmpl w:val="4C1417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23D20"/>
    <w:multiLevelType w:val="hybridMultilevel"/>
    <w:tmpl w:val="5646371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22C7"/>
    <w:multiLevelType w:val="hybridMultilevel"/>
    <w:tmpl w:val="D4544A78"/>
    <w:lvl w:ilvl="0" w:tplc="4AF40A3C">
      <w:start w:val="1"/>
      <w:numFmt w:val="bullet"/>
      <w:pStyle w:val="FormatvorlageOfiiziellesDoku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796A85"/>
    <w:multiLevelType w:val="hybridMultilevel"/>
    <w:tmpl w:val="2F2E6B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7440213">
    <w:abstractNumId w:val="5"/>
  </w:num>
  <w:num w:numId="2" w16cid:durableId="394818769">
    <w:abstractNumId w:val="1"/>
  </w:num>
  <w:num w:numId="3" w16cid:durableId="279269181">
    <w:abstractNumId w:val="5"/>
  </w:num>
  <w:num w:numId="4" w16cid:durableId="645008126">
    <w:abstractNumId w:val="5"/>
  </w:num>
  <w:num w:numId="5" w16cid:durableId="912858566">
    <w:abstractNumId w:val="0"/>
  </w:num>
  <w:num w:numId="6" w16cid:durableId="1168445277">
    <w:abstractNumId w:val="3"/>
  </w:num>
  <w:num w:numId="7" w16cid:durableId="20669517">
    <w:abstractNumId w:val="4"/>
  </w:num>
  <w:num w:numId="8" w16cid:durableId="1098676502">
    <w:abstractNumId w:val="6"/>
  </w:num>
  <w:num w:numId="9" w16cid:durableId="1077091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3">
      <o:colormru v:ext="edit" colors="#004179,#f0f0f0,#4d749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C7"/>
    <w:rsid w:val="00022565"/>
    <w:rsid w:val="00027DE2"/>
    <w:rsid w:val="00042C6A"/>
    <w:rsid w:val="00042CC9"/>
    <w:rsid w:val="00062516"/>
    <w:rsid w:val="00064025"/>
    <w:rsid w:val="000702EF"/>
    <w:rsid w:val="000716D2"/>
    <w:rsid w:val="00072357"/>
    <w:rsid w:val="000851CE"/>
    <w:rsid w:val="0008563A"/>
    <w:rsid w:val="00086F50"/>
    <w:rsid w:val="000952BF"/>
    <w:rsid w:val="000A1B6B"/>
    <w:rsid w:val="000A4675"/>
    <w:rsid w:val="000B21C8"/>
    <w:rsid w:val="000B78EC"/>
    <w:rsid w:val="000C5CAA"/>
    <w:rsid w:val="000F2DBD"/>
    <w:rsid w:val="000F7B82"/>
    <w:rsid w:val="0010437D"/>
    <w:rsid w:val="001119AD"/>
    <w:rsid w:val="00112E4C"/>
    <w:rsid w:val="00116783"/>
    <w:rsid w:val="00117ADB"/>
    <w:rsid w:val="00122CBA"/>
    <w:rsid w:val="00147557"/>
    <w:rsid w:val="0015707A"/>
    <w:rsid w:val="00166C2D"/>
    <w:rsid w:val="00166CF6"/>
    <w:rsid w:val="00176BE7"/>
    <w:rsid w:val="00186964"/>
    <w:rsid w:val="00190DC0"/>
    <w:rsid w:val="00191BBA"/>
    <w:rsid w:val="00195AC0"/>
    <w:rsid w:val="00195B75"/>
    <w:rsid w:val="00195C45"/>
    <w:rsid w:val="001B0F79"/>
    <w:rsid w:val="001B2616"/>
    <w:rsid w:val="001B740E"/>
    <w:rsid w:val="001C4C9B"/>
    <w:rsid w:val="001D1059"/>
    <w:rsid w:val="001E7B7D"/>
    <w:rsid w:val="00225A7B"/>
    <w:rsid w:val="00245D24"/>
    <w:rsid w:val="00267C03"/>
    <w:rsid w:val="0027116D"/>
    <w:rsid w:val="0027204A"/>
    <w:rsid w:val="002744BA"/>
    <w:rsid w:val="0028757A"/>
    <w:rsid w:val="0029461E"/>
    <w:rsid w:val="002A2997"/>
    <w:rsid w:val="002C16CA"/>
    <w:rsid w:val="002C66DB"/>
    <w:rsid w:val="002D18FF"/>
    <w:rsid w:val="002E3F5C"/>
    <w:rsid w:val="002E52E6"/>
    <w:rsid w:val="00307201"/>
    <w:rsid w:val="00313046"/>
    <w:rsid w:val="00317D10"/>
    <w:rsid w:val="0035596E"/>
    <w:rsid w:val="00362ABC"/>
    <w:rsid w:val="003753BA"/>
    <w:rsid w:val="003874A8"/>
    <w:rsid w:val="003C458C"/>
    <w:rsid w:val="003D0F19"/>
    <w:rsid w:val="003E44B7"/>
    <w:rsid w:val="003E6AA2"/>
    <w:rsid w:val="003F07BB"/>
    <w:rsid w:val="00424C34"/>
    <w:rsid w:val="004521AE"/>
    <w:rsid w:val="00472C16"/>
    <w:rsid w:val="00483375"/>
    <w:rsid w:val="00484705"/>
    <w:rsid w:val="00485C2B"/>
    <w:rsid w:val="00486225"/>
    <w:rsid w:val="004933E9"/>
    <w:rsid w:val="004956C5"/>
    <w:rsid w:val="004A1316"/>
    <w:rsid w:val="004B7072"/>
    <w:rsid w:val="004D1BE3"/>
    <w:rsid w:val="004E19F8"/>
    <w:rsid w:val="004F391D"/>
    <w:rsid w:val="00501A39"/>
    <w:rsid w:val="00506824"/>
    <w:rsid w:val="00515A23"/>
    <w:rsid w:val="00521DC2"/>
    <w:rsid w:val="0053327C"/>
    <w:rsid w:val="005345FF"/>
    <w:rsid w:val="00536EEA"/>
    <w:rsid w:val="00546852"/>
    <w:rsid w:val="00561580"/>
    <w:rsid w:val="00567CB7"/>
    <w:rsid w:val="00571F5B"/>
    <w:rsid w:val="005738DC"/>
    <w:rsid w:val="005746F0"/>
    <w:rsid w:val="005818AB"/>
    <w:rsid w:val="00584484"/>
    <w:rsid w:val="005A7A77"/>
    <w:rsid w:val="005B1C8A"/>
    <w:rsid w:val="005B23F3"/>
    <w:rsid w:val="005B6FC5"/>
    <w:rsid w:val="005B7A22"/>
    <w:rsid w:val="005C255C"/>
    <w:rsid w:val="005D6013"/>
    <w:rsid w:val="005E2A30"/>
    <w:rsid w:val="005E5BF8"/>
    <w:rsid w:val="00601155"/>
    <w:rsid w:val="0061544E"/>
    <w:rsid w:val="00616C63"/>
    <w:rsid w:val="00617B81"/>
    <w:rsid w:val="00636535"/>
    <w:rsid w:val="00651B30"/>
    <w:rsid w:val="00660FA4"/>
    <w:rsid w:val="00666F70"/>
    <w:rsid w:val="00676026"/>
    <w:rsid w:val="00680E51"/>
    <w:rsid w:val="0068648B"/>
    <w:rsid w:val="006865D4"/>
    <w:rsid w:val="006A469B"/>
    <w:rsid w:val="006B03C6"/>
    <w:rsid w:val="006B19D2"/>
    <w:rsid w:val="006B39ED"/>
    <w:rsid w:val="006C4CF1"/>
    <w:rsid w:val="006D031E"/>
    <w:rsid w:val="006D56EE"/>
    <w:rsid w:val="006E2242"/>
    <w:rsid w:val="006E3860"/>
    <w:rsid w:val="006E5407"/>
    <w:rsid w:val="006E7A80"/>
    <w:rsid w:val="006F008D"/>
    <w:rsid w:val="006F2A80"/>
    <w:rsid w:val="0070736D"/>
    <w:rsid w:val="007109E5"/>
    <w:rsid w:val="00711073"/>
    <w:rsid w:val="00715925"/>
    <w:rsid w:val="00720CF8"/>
    <w:rsid w:val="00722DF7"/>
    <w:rsid w:val="00747AE6"/>
    <w:rsid w:val="00753F44"/>
    <w:rsid w:val="00764243"/>
    <w:rsid w:val="007770B2"/>
    <w:rsid w:val="00780E0D"/>
    <w:rsid w:val="007A1836"/>
    <w:rsid w:val="007A67AD"/>
    <w:rsid w:val="007C573E"/>
    <w:rsid w:val="007C7C4E"/>
    <w:rsid w:val="007E374C"/>
    <w:rsid w:val="007F0AA8"/>
    <w:rsid w:val="007F1E19"/>
    <w:rsid w:val="0082193F"/>
    <w:rsid w:val="00826BED"/>
    <w:rsid w:val="00827F07"/>
    <w:rsid w:val="0084180D"/>
    <w:rsid w:val="0084181A"/>
    <w:rsid w:val="00842227"/>
    <w:rsid w:val="00842B5E"/>
    <w:rsid w:val="00847DDF"/>
    <w:rsid w:val="00852D89"/>
    <w:rsid w:val="00862B4F"/>
    <w:rsid w:val="008663A8"/>
    <w:rsid w:val="008679B6"/>
    <w:rsid w:val="008703B9"/>
    <w:rsid w:val="00883F47"/>
    <w:rsid w:val="00886212"/>
    <w:rsid w:val="008B198B"/>
    <w:rsid w:val="008B2D23"/>
    <w:rsid w:val="008B5BCC"/>
    <w:rsid w:val="008C1881"/>
    <w:rsid w:val="008C2E88"/>
    <w:rsid w:val="008C4F16"/>
    <w:rsid w:val="008E3C6E"/>
    <w:rsid w:val="00912D33"/>
    <w:rsid w:val="00920BC0"/>
    <w:rsid w:val="0092441E"/>
    <w:rsid w:val="00925728"/>
    <w:rsid w:val="00947893"/>
    <w:rsid w:val="00981B27"/>
    <w:rsid w:val="00986374"/>
    <w:rsid w:val="009B0B7F"/>
    <w:rsid w:val="009B499A"/>
    <w:rsid w:val="009C2F8D"/>
    <w:rsid w:val="009D2D26"/>
    <w:rsid w:val="009E179B"/>
    <w:rsid w:val="009E3BAC"/>
    <w:rsid w:val="009F1207"/>
    <w:rsid w:val="009F19DA"/>
    <w:rsid w:val="00A03CC5"/>
    <w:rsid w:val="00A16605"/>
    <w:rsid w:val="00A2700C"/>
    <w:rsid w:val="00A55AC0"/>
    <w:rsid w:val="00A57708"/>
    <w:rsid w:val="00A61FA8"/>
    <w:rsid w:val="00A75ED9"/>
    <w:rsid w:val="00A91099"/>
    <w:rsid w:val="00A95F8B"/>
    <w:rsid w:val="00AB1A03"/>
    <w:rsid w:val="00AC05E9"/>
    <w:rsid w:val="00AC2FBC"/>
    <w:rsid w:val="00AC69EE"/>
    <w:rsid w:val="00AC77A6"/>
    <w:rsid w:val="00AD7762"/>
    <w:rsid w:val="00B06F71"/>
    <w:rsid w:val="00B15FDE"/>
    <w:rsid w:val="00B164B4"/>
    <w:rsid w:val="00B25E56"/>
    <w:rsid w:val="00B306E2"/>
    <w:rsid w:val="00B33C06"/>
    <w:rsid w:val="00B35C96"/>
    <w:rsid w:val="00B5470F"/>
    <w:rsid w:val="00B573F4"/>
    <w:rsid w:val="00B605F4"/>
    <w:rsid w:val="00B80B52"/>
    <w:rsid w:val="00B9776B"/>
    <w:rsid w:val="00BC35F8"/>
    <w:rsid w:val="00BC406F"/>
    <w:rsid w:val="00BC4070"/>
    <w:rsid w:val="00BD1F9A"/>
    <w:rsid w:val="00BE1ADE"/>
    <w:rsid w:val="00BF6757"/>
    <w:rsid w:val="00C0017B"/>
    <w:rsid w:val="00C177E8"/>
    <w:rsid w:val="00C32905"/>
    <w:rsid w:val="00C433FF"/>
    <w:rsid w:val="00C51550"/>
    <w:rsid w:val="00C55EDE"/>
    <w:rsid w:val="00C57ACA"/>
    <w:rsid w:val="00C66928"/>
    <w:rsid w:val="00C8349C"/>
    <w:rsid w:val="00C862CC"/>
    <w:rsid w:val="00C90773"/>
    <w:rsid w:val="00C94992"/>
    <w:rsid w:val="00CB31E1"/>
    <w:rsid w:val="00CB4BE5"/>
    <w:rsid w:val="00CB50D0"/>
    <w:rsid w:val="00CD407C"/>
    <w:rsid w:val="00CD55D6"/>
    <w:rsid w:val="00CE19F3"/>
    <w:rsid w:val="00CF2450"/>
    <w:rsid w:val="00CF36CE"/>
    <w:rsid w:val="00D073F5"/>
    <w:rsid w:val="00D1714F"/>
    <w:rsid w:val="00D23B41"/>
    <w:rsid w:val="00D318B0"/>
    <w:rsid w:val="00D35309"/>
    <w:rsid w:val="00D4424A"/>
    <w:rsid w:val="00D449CA"/>
    <w:rsid w:val="00D46290"/>
    <w:rsid w:val="00D5062B"/>
    <w:rsid w:val="00D6401D"/>
    <w:rsid w:val="00D77CD9"/>
    <w:rsid w:val="00DA79FC"/>
    <w:rsid w:val="00DB6DEA"/>
    <w:rsid w:val="00DD54A0"/>
    <w:rsid w:val="00E00280"/>
    <w:rsid w:val="00E0799E"/>
    <w:rsid w:val="00E14F43"/>
    <w:rsid w:val="00E358C8"/>
    <w:rsid w:val="00E43BEC"/>
    <w:rsid w:val="00E533E9"/>
    <w:rsid w:val="00E54D96"/>
    <w:rsid w:val="00E72283"/>
    <w:rsid w:val="00E740F4"/>
    <w:rsid w:val="00E74C4A"/>
    <w:rsid w:val="00E76EE8"/>
    <w:rsid w:val="00E934AC"/>
    <w:rsid w:val="00E94CF1"/>
    <w:rsid w:val="00EA299C"/>
    <w:rsid w:val="00EB23C7"/>
    <w:rsid w:val="00EB6FAC"/>
    <w:rsid w:val="00EE2748"/>
    <w:rsid w:val="00F060E1"/>
    <w:rsid w:val="00F07162"/>
    <w:rsid w:val="00F146C4"/>
    <w:rsid w:val="00F30F38"/>
    <w:rsid w:val="00F33EC2"/>
    <w:rsid w:val="00F65D83"/>
    <w:rsid w:val="00F82625"/>
    <w:rsid w:val="00F84255"/>
    <w:rsid w:val="00F871C9"/>
    <w:rsid w:val="00F93B43"/>
    <w:rsid w:val="00FA6673"/>
    <w:rsid w:val="00FA7CE6"/>
    <w:rsid w:val="00FB3B4F"/>
    <w:rsid w:val="00FB6972"/>
    <w:rsid w:val="00FD343F"/>
    <w:rsid w:val="00FD5359"/>
    <w:rsid w:val="00FE1F2E"/>
    <w:rsid w:val="00FE70F4"/>
    <w:rsid w:val="00FF7A13"/>
    <w:rsid w:val="4A84A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o:colormru v:ext="edit" colors="#004179,#f0f0f0,#4d749e"/>
    </o:shapedefaults>
    <o:shapelayout v:ext="edit">
      <o:idmap v:ext="edit" data="2"/>
    </o:shapelayout>
  </w:shapeDefaults>
  <w:decimalSymbol w:val=","/>
  <w:listSeparator w:val=";"/>
  <w14:docId w14:val="5F68EDCB"/>
  <w15:docId w15:val="{E0793F58-A7B4-4994-AD62-2BFC0B7B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2441E"/>
    <w:rPr>
      <w:sz w:val="24"/>
      <w:szCs w:val="24"/>
    </w:rPr>
  </w:style>
  <w:style w:type="paragraph" w:styleId="berschrift1">
    <w:name w:val="heading 1"/>
    <w:aliases w:val="Überschrift 1 Char"/>
    <w:basedOn w:val="Standard"/>
    <w:next w:val="Standard"/>
    <w:qFormat/>
    <w:rsid w:val="00AC2F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C2FB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C2FBC"/>
    <w:pPr>
      <w:tabs>
        <w:tab w:val="center" w:pos="4536"/>
        <w:tab w:val="right" w:pos="9072"/>
      </w:tabs>
    </w:pPr>
  </w:style>
  <w:style w:type="character" w:customStyle="1" w:styleId="berschrift1CharChar">
    <w:name w:val="Überschrift 1 Char Char"/>
    <w:basedOn w:val="Absatz-Standardschriftart"/>
    <w:rsid w:val="00AC2FBC"/>
    <w:rPr>
      <w:rFonts w:ascii="Arial" w:hAnsi="Arial" w:cs="Arial"/>
      <w:b/>
      <w:bCs/>
      <w:kern w:val="32"/>
      <w:sz w:val="32"/>
      <w:szCs w:val="32"/>
      <w:lang w:val="de-DE" w:eastAsia="de-DE" w:bidi="ar-SA"/>
    </w:rPr>
  </w:style>
  <w:style w:type="paragraph" w:customStyle="1" w:styleId="FormatvorlageOfiiziellesDokument">
    <w:name w:val="Formatvorlage_Ofiizielles_Dokument"/>
    <w:basedOn w:val="Standard"/>
    <w:rsid w:val="00AC2FBC"/>
    <w:pPr>
      <w:numPr>
        <w:numId w:val="1"/>
      </w:numPr>
      <w:spacing w:line="280" w:lineRule="exact"/>
      <w:ind w:right="74"/>
      <w:jc w:val="both"/>
    </w:pPr>
    <w:rPr>
      <w:rFonts w:ascii="TheSans-Plain" w:hAnsi="TheSans-Plain"/>
      <w:noProof/>
      <w:color w:val="004179"/>
      <w:sz w:val="18"/>
      <w:szCs w:val="18"/>
    </w:rPr>
  </w:style>
  <w:style w:type="paragraph" w:styleId="Untertitel">
    <w:name w:val="Subtitle"/>
    <w:basedOn w:val="Standard"/>
    <w:qFormat/>
    <w:rsid w:val="00AC2FBC"/>
    <w:pPr>
      <w:ind w:left="360"/>
      <w:jc w:val="both"/>
    </w:pPr>
    <w:rPr>
      <w:rFonts w:ascii="TheSans-Plain" w:hAnsi="TheSans-Plain"/>
      <w:b/>
      <w:bCs/>
    </w:rPr>
  </w:style>
  <w:style w:type="character" w:styleId="Seitenzahl">
    <w:name w:val="page number"/>
    <w:basedOn w:val="Absatz-Standardschriftart"/>
    <w:rsid w:val="00AC2FBC"/>
  </w:style>
  <w:style w:type="character" w:styleId="Hyperlink">
    <w:name w:val="Hyperlink"/>
    <w:uiPriority w:val="99"/>
    <w:rsid w:val="00BC4070"/>
    <w:rPr>
      <w:color w:val="0000FF"/>
      <w:u w:val="single"/>
    </w:rPr>
  </w:style>
  <w:style w:type="paragraph" w:customStyle="1" w:styleId="xmsonormal">
    <w:name w:val="x_msonormal"/>
    <w:basedOn w:val="Standard"/>
    <w:rsid w:val="00BC4070"/>
    <w:pPr>
      <w:spacing w:before="100" w:beforeAutospacing="1" w:after="100" w:afterAutospacing="1"/>
    </w:pPr>
  </w:style>
  <w:style w:type="character" w:customStyle="1" w:styleId="x033494008-29112010">
    <w:name w:val="x_033494008-29112010"/>
    <w:rsid w:val="00BC4070"/>
  </w:style>
  <w:style w:type="paragraph" w:styleId="Textkrper3">
    <w:name w:val="Body Text 3"/>
    <w:basedOn w:val="Standard"/>
    <w:link w:val="Textkrper3Zchn"/>
    <w:rsid w:val="008663A8"/>
    <w:rPr>
      <w:rFonts w:ascii="TheSans-Plain" w:hAnsi="TheSans-Plain"/>
      <w:sz w:val="20"/>
    </w:rPr>
  </w:style>
  <w:style w:type="character" w:customStyle="1" w:styleId="Textkrper3Zchn">
    <w:name w:val="Textkörper 3 Zchn"/>
    <w:basedOn w:val="Absatz-Standardschriftart"/>
    <w:link w:val="Textkrper3"/>
    <w:rsid w:val="008663A8"/>
    <w:rPr>
      <w:rFonts w:ascii="TheSans-Plain" w:hAnsi="TheSans-Plain"/>
      <w:szCs w:val="24"/>
    </w:rPr>
  </w:style>
  <w:style w:type="paragraph" w:styleId="Sprechblasentext">
    <w:name w:val="Balloon Text"/>
    <w:basedOn w:val="Standard"/>
    <w:link w:val="SprechblasentextZchn"/>
    <w:rsid w:val="001570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5707A"/>
    <w:rPr>
      <w:rFonts w:ascii="Tahom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rsid w:val="00E934A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34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934A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934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34AC"/>
    <w:rPr>
      <w:b/>
      <w:bCs/>
      <w:lang w:eastAsia="de-DE"/>
    </w:rPr>
  </w:style>
  <w:style w:type="character" w:customStyle="1" w:styleId="normaltextrun">
    <w:name w:val="normaltextrun"/>
    <w:basedOn w:val="Absatz-Standardschriftart"/>
    <w:rsid w:val="00317D10"/>
  </w:style>
  <w:style w:type="character" w:customStyle="1" w:styleId="tabchar">
    <w:name w:val="tabchar"/>
    <w:basedOn w:val="Absatz-Standardschriftart"/>
    <w:rsid w:val="00317D10"/>
  </w:style>
  <w:style w:type="paragraph" w:styleId="berarbeitung">
    <w:name w:val="Revision"/>
    <w:hidden/>
    <w:uiPriority w:val="99"/>
    <w:semiHidden/>
    <w:rsid w:val="00A03C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stagram.com/meyle_part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user/MEYLET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meyle-ag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meyle.part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95da17-1d82-4789-94cf-7095a2c2d032" xsi:nil="true"/>
    <lcf76f155ced4ddcb4097134ff3c332f xmlns="68c7cde4-d4e7-46ba-b3a3-deb438b8c83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1CA44449E2E40A1A7EF981787D632" ma:contentTypeVersion="18" ma:contentTypeDescription="Ein neues Dokument erstellen." ma:contentTypeScope="" ma:versionID="9ea6558638248d9ee7b645ee6831c7ae">
  <xsd:schema xmlns:xsd="http://www.w3.org/2001/XMLSchema" xmlns:xs="http://www.w3.org/2001/XMLSchema" xmlns:p="http://schemas.microsoft.com/office/2006/metadata/properties" xmlns:ns2="68c7cde4-d4e7-46ba-b3a3-deb438b8c839" xmlns:ns3="cc95da17-1d82-4789-94cf-7095a2c2d032" targetNamespace="http://schemas.microsoft.com/office/2006/metadata/properties" ma:root="true" ma:fieldsID="0710027166c5a977a07cb737ed8fc7f6" ns2:_="" ns3:_="">
    <xsd:import namespace="68c7cde4-d4e7-46ba-b3a3-deb438b8c839"/>
    <xsd:import namespace="cc95da17-1d82-4789-94cf-7095a2c2d0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7cde4-d4e7-46ba-b3a3-deb438b8c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0f555ba-ebe5-4234-a4b0-3f07ec9d12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5da17-1d82-4789-94cf-7095a2c2d03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bfb986-3d04-4f2e-b3f7-8f0308ac569a}" ma:internalName="TaxCatchAll" ma:showField="CatchAllData" ma:web="cc95da17-1d82-4789-94cf-7095a2c2d0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B0FD67-2088-4C49-B87C-0A8B78132F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F436BE-78A1-43BE-BBE9-A199019600F5}">
  <ds:schemaRefs>
    <ds:schemaRef ds:uri="http://schemas.microsoft.com/office/2006/metadata/properties"/>
    <ds:schemaRef ds:uri="http://schemas.microsoft.com/office/infopath/2007/PartnerControls"/>
    <ds:schemaRef ds:uri="cc95da17-1d82-4789-94cf-7095a2c2d032"/>
    <ds:schemaRef ds:uri="68c7cde4-d4e7-46ba-b3a3-deb438b8c839"/>
  </ds:schemaRefs>
</ds:datastoreItem>
</file>

<file path=customXml/itemProps3.xml><?xml version="1.0" encoding="utf-8"?>
<ds:datastoreItem xmlns:ds="http://schemas.openxmlformats.org/officeDocument/2006/customXml" ds:itemID="{40D8EEC6-064E-4BD8-97BA-C3EB0230E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7cde4-d4e7-46ba-b3a3-deb438b8c839"/>
    <ds:schemaRef ds:uri="cc95da17-1d82-4789-94cf-7095a2c2d0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09A5F7-4DC9-4765-ABAD-3FA0E163E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1779</Characters>
  <Application>Microsoft Office Word</Application>
  <DocSecurity>0</DocSecurity>
  <Lines>14</Lines>
  <Paragraphs>3</Paragraphs>
  <ScaleCrop>false</ScaleCrop>
  <Company>Wulf Gaertner Autoparts AG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MEYLE Products® - Wulf Gaertner Autoparts AG</dc:title>
  <dc:creator>.</dc:creator>
  <cp:lastModifiedBy>Granegger, Anna-Maria</cp:lastModifiedBy>
  <cp:revision>11</cp:revision>
  <cp:lastPrinted>2009-12-16T11:09:00Z</cp:lastPrinted>
  <dcterms:created xsi:type="dcterms:W3CDTF">2024-09-03T07:46:00Z</dcterms:created>
  <dcterms:modified xsi:type="dcterms:W3CDTF">2024-09-03T10:12:00Z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0x010100CBC1CA44449E2E40A1A7EF981787D632</vt:lpwstr>
  </property>
  <property fmtid="{D5CDD505-2E9C-101B-9397-08002B2CF9AE}" pid="3" name="MediaServiceImageTags">
    <vt:lpwstr/>
  </property>
  <property fmtid="{D5CDD505-2E9C-101B-9397-08002B2CF9AE}" pid="4" name="Tags">
    <vt:lpwstr/>
  </property>
  <property fmtid="{D5CDD505-2E9C-101B-9397-08002B2CF9AE}" pid="5" name="Land">
    <vt:lpwstr/>
  </property>
</Properties>
</file>